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NOTICIA DEL FUTURO</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Publicada en el periódico matinal Buyumbura Times, diario independiente más antiguo de Burundi y líder en número de lectores del continente africano. Dice así:</w:t>
      </w:r>
    </w:p>
    <w:p w:rsidR="00000000" w:rsidDel="00000000" w:rsidP="00000000" w:rsidRDefault="00000000" w:rsidRPr="00000000" w14:paraId="00000004">
      <w:pPr>
        <w:spacing w:line="360" w:lineRule="auto"/>
        <w:jc w:val="both"/>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Recientes investigaciones llevadas a cabo por el profesor Awanba Buluba Balambambú, prestigioso paleoantropólogo de la universidad de Kampala, revelan unos descubrimientos de unos restos humanos misteriosos que hacen tambalear los fundamentos de la arqueología moderna. Se han desarrollado en una región meridional de lo que anteriormente se llamaba Norteamérica, actualmente Lessbrainland.</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Son numerosos los casos de enterramientos individuales y colectivos hallados en múltiples lugares en ambientes muy diversos. Los hay en las proximidades del mar, en las montañas, en lugares sepultados por las aguas o en otros cubiertos por la vegetación que parecen corresponder a ciudades abandonadas.</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Los restos, humanos sin duda alguna, parecen pertenecer a pobladores fallecidos por inanición. Son de ambos sexos y de edades jóvenes. Las dataciones más fiables permiten aventurar su fallecimiento alrededor de los primeros treinta o cuarenta años del siglo XXI. La inmensa mayoría presentan rasgos comunes como los siguientes: </w:t>
      </w:r>
    </w:p>
    <w:p w:rsidR="00000000" w:rsidDel="00000000" w:rsidP="00000000" w:rsidRDefault="00000000" w:rsidRPr="00000000" w14:paraId="00000008">
      <w:pPr>
        <w:numPr>
          <w:ilvl w:val="0"/>
          <w:numId w:val="1"/>
        </w:numPr>
        <w:spacing w:line="360" w:lineRule="auto"/>
        <w:ind w:left="720" w:hanging="360"/>
        <w:jc w:val="both"/>
        <w:rPr>
          <w:sz w:val="24"/>
          <w:szCs w:val="24"/>
        </w:rPr>
      </w:pPr>
      <w:r w:rsidDel="00000000" w:rsidR="00000000" w:rsidRPr="00000000">
        <w:rPr>
          <w:sz w:val="24"/>
          <w:szCs w:val="24"/>
          <w:rtl w:val="0"/>
        </w:rPr>
        <w:t xml:space="preserve">La posición de los cuerpos es erecta o sentada, a veces parece que estuvieran posando. </w:t>
      </w:r>
    </w:p>
    <w:p w:rsidR="00000000" w:rsidDel="00000000" w:rsidP="00000000" w:rsidRDefault="00000000" w:rsidRPr="00000000" w14:paraId="00000009">
      <w:pPr>
        <w:numPr>
          <w:ilvl w:val="0"/>
          <w:numId w:val="1"/>
        </w:numPr>
        <w:spacing w:line="360" w:lineRule="auto"/>
        <w:ind w:left="720" w:hanging="360"/>
        <w:jc w:val="both"/>
        <w:rPr>
          <w:sz w:val="24"/>
          <w:szCs w:val="24"/>
        </w:rPr>
      </w:pPr>
      <w:r w:rsidDel="00000000" w:rsidR="00000000" w:rsidRPr="00000000">
        <w:rPr>
          <w:sz w:val="24"/>
          <w:szCs w:val="24"/>
          <w:rtl w:val="0"/>
        </w:rPr>
        <w:t xml:space="preserve">Los codos, en todos los casos, están flexionados en un ángulo de 90º, con un acortamiento de los tendones, lo que les impediría la extensión completa. </w:t>
      </w:r>
    </w:p>
    <w:p w:rsidR="00000000" w:rsidDel="00000000" w:rsidP="00000000" w:rsidRDefault="00000000" w:rsidRPr="00000000" w14:paraId="0000000A">
      <w:pPr>
        <w:numPr>
          <w:ilvl w:val="0"/>
          <w:numId w:val="1"/>
        </w:numPr>
        <w:spacing w:line="360" w:lineRule="auto"/>
        <w:ind w:left="720" w:hanging="360"/>
        <w:jc w:val="both"/>
        <w:rPr>
          <w:sz w:val="24"/>
          <w:szCs w:val="24"/>
        </w:rPr>
      </w:pPr>
      <w:r w:rsidDel="00000000" w:rsidR="00000000" w:rsidRPr="00000000">
        <w:rPr>
          <w:sz w:val="24"/>
          <w:szCs w:val="24"/>
          <w:rtl w:val="0"/>
        </w:rPr>
        <w:t xml:space="preserve">Las manos presentan siempre juntos los dedos del 2º al 5º,  encontrándose los pulgares en oposición a los otros. </w:t>
      </w:r>
    </w:p>
    <w:p w:rsidR="00000000" w:rsidDel="00000000" w:rsidP="00000000" w:rsidRDefault="00000000" w:rsidRPr="00000000" w14:paraId="0000000B">
      <w:pPr>
        <w:numPr>
          <w:ilvl w:val="0"/>
          <w:numId w:val="1"/>
        </w:numPr>
        <w:spacing w:line="360" w:lineRule="auto"/>
        <w:ind w:left="720" w:hanging="360"/>
        <w:jc w:val="both"/>
        <w:rPr>
          <w:sz w:val="24"/>
          <w:szCs w:val="24"/>
        </w:rPr>
      </w:pPr>
      <w:r w:rsidDel="00000000" w:rsidR="00000000" w:rsidRPr="00000000">
        <w:rPr>
          <w:sz w:val="24"/>
          <w:szCs w:val="24"/>
          <w:rtl w:val="0"/>
        </w:rPr>
        <w:t xml:space="preserve">Las segundas falanges de ambos dedos pulgares están muy adelgazadas y desgastadas por sus extremos, asemejándose a puntas de cualquier instrumento de escritura. </w:t>
      </w:r>
    </w:p>
    <w:p w:rsidR="00000000" w:rsidDel="00000000" w:rsidP="00000000" w:rsidRDefault="00000000" w:rsidRPr="00000000" w14:paraId="0000000C">
      <w:pPr>
        <w:numPr>
          <w:ilvl w:val="0"/>
          <w:numId w:val="1"/>
        </w:numPr>
        <w:spacing w:line="360" w:lineRule="auto"/>
        <w:ind w:left="720" w:hanging="360"/>
        <w:jc w:val="both"/>
        <w:rPr>
          <w:sz w:val="24"/>
          <w:szCs w:val="24"/>
        </w:rPr>
      </w:pPr>
      <w:r w:rsidDel="00000000" w:rsidR="00000000" w:rsidRPr="00000000">
        <w:rPr>
          <w:sz w:val="24"/>
          <w:szCs w:val="24"/>
          <w:rtl w:val="0"/>
        </w:rPr>
        <w:t xml:space="preserve">El cráneo está inclinado hacia adelante entre 45 y 90 grados respecto a la vertical, resultando imposible lograr la extensión completa de la cabeza. </w:t>
      </w:r>
    </w:p>
    <w:p w:rsidR="00000000" w:rsidDel="00000000" w:rsidP="00000000" w:rsidRDefault="00000000" w:rsidRPr="00000000" w14:paraId="0000000D">
      <w:pPr>
        <w:numPr>
          <w:ilvl w:val="0"/>
          <w:numId w:val="1"/>
        </w:numPr>
        <w:spacing w:line="360" w:lineRule="auto"/>
        <w:ind w:left="720" w:hanging="360"/>
        <w:jc w:val="both"/>
        <w:rPr>
          <w:sz w:val="24"/>
          <w:szCs w:val="24"/>
        </w:rPr>
      </w:pPr>
      <w:r w:rsidDel="00000000" w:rsidR="00000000" w:rsidRPr="00000000">
        <w:rPr>
          <w:sz w:val="24"/>
          <w:szCs w:val="24"/>
          <w:rtl w:val="0"/>
        </w:rPr>
        <w:t xml:space="preserve">La mandíbula se encuentra abierta en casi todos los casos y, en muchos de los ejemplares momificados, la parte de la barbilla parece haber sido macerada, quizás por saliva u otro líquido aún no identificado. </w:t>
      </w:r>
    </w:p>
    <w:p w:rsidR="00000000" w:rsidDel="00000000" w:rsidP="00000000" w:rsidRDefault="00000000" w:rsidRPr="00000000" w14:paraId="0000000E">
      <w:pPr>
        <w:numPr>
          <w:ilvl w:val="0"/>
          <w:numId w:val="1"/>
        </w:numPr>
        <w:spacing w:line="360" w:lineRule="auto"/>
        <w:ind w:left="720" w:hanging="360"/>
        <w:jc w:val="both"/>
        <w:rPr>
          <w:sz w:val="24"/>
          <w:szCs w:val="24"/>
        </w:rPr>
      </w:pPr>
      <w:r w:rsidDel="00000000" w:rsidR="00000000" w:rsidRPr="00000000">
        <w:rPr>
          <w:sz w:val="24"/>
          <w:szCs w:val="24"/>
          <w:rtl w:val="0"/>
        </w:rPr>
        <w:t xml:space="preserve">Las órbitas están deformadas, lo que demuestra que tenían grandes dificultades para poder ver de lejos. Dicho de otra forma, parecen constituir grupos uniformados por su miopía.</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En cuanto a los objetos suntuarios hallados en las sepulturas, se encuentran cinturones, mochilas, restos de prendas de vestir, botones, carteras, todo ello sin poder establecer ningún patrón. Lo que resulta más llamativo es el hallazgo, común en todos los enterramientos de los especímenes encontrados, de unos objetos rectangulares intactos, cada uno asociado a un cuerpo, de unos 15 a 20 cm de largo por 6 a 8 cm de ancho y un espesor de 1cm, con una superficie brillante, que parece hecha de algún tipo de cristal. La cara opuesta es opaca e incluye unos círculos que aparentan ser objetivos de cámaras fotográficas o tener alguna función similar.</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La hipótesis de los investigadores sobre la muerte de los individuos se centra en que esos misteriosos  aparatos encontrados podrían impedir a los pobres individuos que pudieran encontrar alimentos al no poder levantar la mirada o, quizás, la posición del aparato entre las manos les impidiera llevar los alimentos a la boca. Esa época coincide con el apogeo de lo que, de forma pomposa, se llamó era de la Inteligencia Artificial, o era post TikTok, contemporanea con el periodo de gobierno del emperador Pelopanocha que finalizó con el colapso y posterior desaparición del denominado Imperio Yankee.</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José Mª Marco Pérez</w:t>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Junio 2025</w:t>
      </w:r>
    </w:p>
    <w:p w:rsidR="00000000" w:rsidDel="00000000" w:rsidP="00000000" w:rsidRDefault="00000000" w:rsidRPr="00000000" w14:paraId="00000015">
      <w:pPr>
        <w:spacing w:line="36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lC4HRJ8I4t/ZRcT73YwNJYR8Zg==">CgMxLjA4AHIhMTB3bzRkQzdMbTBUY1pKODhGQ1pvVVF1UHNHQi13NEQ0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